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CB8" w:rsidRPr="00A34365" w:rsidRDefault="00872CB8" w:rsidP="00872CB8">
      <w:pPr>
        <w:pStyle w:val="ConsPlusTitle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A34365">
        <w:rPr>
          <w:rFonts w:ascii="Times New Roman" w:hAnsi="Times New Roman" w:cs="Times New Roman"/>
        </w:rPr>
        <w:t>Паспорт</w:t>
      </w:r>
    </w:p>
    <w:p w:rsidR="00872CB8" w:rsidRPr="00A34365" w:rsidRDefault="00872CB8" w:rsidP="00872CB8">
      <w:pPr>
        <w:pStyle w:val="ConsPlusTitle"/>
        <w:jc w:val="center"/>
        <w:rPr>
          <w:rFonts w:ascii="Times New Roman" w:hAnsi="Times New Roman" w:cs="Times New Roman"/>
        </w:rPr>
      </w:pPr>
      <w:r w:rsidRPr="00A34365">
        <w:rPr>
          <w:rFonts w:ascii="Times New Roman" w:hAnsi="Times New Roman" w:cs="Times New Roman"/>
        </w:rPr>
        <w:t>государственной программы Ханты-Мансийского автономного</w:t>
      </w:r>
    </w:p>
    <w:p w:rsidR="00872CB8" w:rsidRPr="00A34365" w:rsidRDefault="00872CB8" w:rsidP="00872CB8">
      <w:pPr>
        <w:pStyle w:val="ConsPlusTitle"/>
        <w:jc w:val="center"/>
        <w:rPr>
          <w:rFonts w:ascii="Times New Roman" w:hAnsi="Times New Roman" w:cs="Times New Roman"/>
        </w:rPr>
      </w:pPr>
      <w:r w:rsidRPr="00A34365">
        <w:rPr>
          <w:rFonts w:ascii="Times New Roman" w:hAnsi="Times New Roman" w:cs="Times New Roman"/>
        </w:rPr>
        <w:t>округа – Югры "Современное здравоохранение"</w:t>
      </w:r>
    </w:p>
    <w:p w:rsidR="00872CB8" w:rsidRPr="00872CB8" w:rsidRDefault="00872CB8" w:rsidP="00872CB8">
      <w:pPr>
        <w:pStyle w:val="ConsPlusNormal"/>
        <w:jc w:val="both"/>
      </w:pPr>
    </w:p>
    <w:tbl>
      <w:tblPr>
        <w:tblW w:w="0" w:type="auto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7088"/>
      </w:tblGrid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Наименование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Современное здравоохранение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Дата утверждения государственной программы (наименование и номер соответствующего нормативного правового акта)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постановление Правительства Ханты-Мансийского автономного округа - Югры от 5 октября 2018 года N 337-п "О государственной программе Ханты-Мансийского автономного округа – Югры  "Современное здравоохранение"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Ответственный исполнитель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 xml:space="preserve">Департамент здравоохранения Ханты-Мансийского автономного округа – Югры 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Соисполнители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ind w:firstLine="540"/>
              <w:jc w:val="both"/>
            </w:pPr>
            <w:r w:rsidRPr="00A34365">
              <w:t>Департамент строительства Ханты-Мансийского автономного округа – Югры,</w:t>
            </w:r>
          </w:p>
          <w:p w:rsidR="00872CB8" w:rsidRPr="00A34365" w:rsidRDefault="00872CB8" w:rsidP="00001367">
            <w:pPr>
              <w:pStyle w:val="ConsPlusNormal"/>
              <w:ind w:firstLine="540"/>
              <w:jc w:val="both"/>
            </w:pPr>
            <w:r w:rsidRPr="00A34365">
              <w:t>Аппарат Губернатора Ханты-Мансийского автономного округа – Югры,</w:t>
            </w:r>
          </w:p>
          <w:p w:rsidR="00872CB8" w:rsidRPr="00A34365" w:rsidRDefault="00872CB8" w:rsidP="00001367">
            <w:pPr>
              <w:pStyle w:val="ConsPlusNormal"/>
              <w:ind w:firstLine="540"/>
              <w:jc w:val="both"/>
            </w:pPr>
            <w:r w:rsidRPr="00A34365">
              <w:t>Департамент по управлению государственным имуществом Ханты-Мансийского автономного округа – Югры,</w:t>
            </w:r>
          </w:p>
          <w:p w:rsidR="00872CB8" w:rsidRPr="00A34365" w:rsidRDefault="00872CB8" w:rsidP="00001367">
            <w:pPr>
              <w:pStyle w:val="ConsPlusNormal"/>
              <w:ind w:firstLine="540"/>
              <w:jc w:val="both"/>
            </w:pPr>
            <w:r w:rsidRPr="00A34365">
              <w:t xml:space="preserve">Департамент информационных технологий и </w:t>
            </w:r>
            <w:proofErr w:type="gramStart"/>
            <w:r w:rsidRPr="00A34365">
              <w:t>цифрового</w:t>
            </w:r>
            <w:proofErr w:type="gramEnd"/>
            <w:r w:rsidRPr="00A34365">
              <w:t xml:space="preserve"> развития Ханты-Мансийского автономного округа – Югры,</w:t>
            </w:r>
          </w:p>
          <w:p w:rsidR="00872CB8" w:rsidRPr="00A34365" w:rsidRDefault="00872CB8" w:rsidP="00001367">
            <w:pPr>
              <w:pStyle w:val="ConsPlusNormal"/>
              <w:ind w:firstLine="540"/>
              <w:jc w:val="both"/>
            </w:pPr>
            <w:r w:rsidRPr="00A34365">
              <w:t xml:space="preserve">Служба по контролю и надзору в сфере здравоохранения Ханты-Мансийского автономного округа – Югры 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Цели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снижение смертности, увеличение продолжительности жизни населения, повышение удовлетворенности населения качеством медицинской помощи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Задачи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1. Совершенствование оказания первичной медико-санитарной помощи, включая профилактику заболеваний и формирование здорового образа жизни.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2. Повышение доступности и качества медицинской помощи детям и матерям.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 xml:space="preserve">3. Совершенствование оказания специализированной, включая </w:t>
            </w:r>
            <w:proofErr w:type="gramStart"/>
            <w:r w:rsidRPr="00A34365">
              <w:t>высокотехнологичную</w:t>
            </w:r>
            <w:proofErr w:type="gramEnd"/>
            <w:r w:rsidRPr="00A34365">
              <w:t>, медицинской помощи, скорой, в том числе скорой специализированной, медицинской помощи, медицинской эвакуации.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4. Совершенствование оказания паллиативной медицинской помощи, развитие медицинской реабилитации и санаторно-курортного лечения.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5. Преодоление кадрового дефицита, обеспечение системы здравоохранения высококвалифицированными специалистами.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 xml:space="preserve">6. Повышение эффективности организации медицинской помощи за счет внедрения информационных технологий, ведение </w:t>
            </w:r>
            <w:r w:rsidRPr="00A34365">
              <w:lastRenderedPageBreak/>
              <w:t>медицинской документации в электронном виде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lastRenderedPageBreak/>
              <w:t>Подпрограммы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450" w:tooltip="Подпрограмма 1. Развитие первичной медико-санитарной помощи" w:history="1">
              <w:r w:rsidR="00872CB8" w:rsidRPr="00A34365">
                <w:t>Подпрограмма 1</w:t>
              </w:r>
            </w:hyperlink>
            <w:r w:rsidR="00872CB8" w:rsidRPr="00A34365">
              <w:t xml:space="preserve"> "Развитие первичной медико-санитарной помощи";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791" w:tooltip="Подпрограмма 2. Совершенствование оказания специализированной, в том числе высокотехнологичной, медицинской помощи" w:history="1">
              <w:r w:rsidR="00872CB8" w:rsidRPr="00A34365">
                <w:t>Подпрограмма 2</w:t>
              </w:r>
            </w:hyperlink>
            <w:r w:rsidR="00872CB8" w:rsidRPr="00A34365">
              <w:t xml:space="preserve"> "Совершенствование оказания специализированной, в том числе высокотехнологичной, медицинской помощи";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1221" w:tooltip="Подпрограмма 3. Охрана здоровья матери и ребенка" w:history="1">
              <w:r w:rsidR="00872CB8" w:rsidRPr="00A34365">
                <w:t>Подпрограмма 3</w:t>
              </w:r>
            </w:hyperlink>
            <w:r w:rsidR="00872CB8" w:rsidRPr="00A34365">
              <w:t xml:space="preserve"> "Охрана здоровья матери и ребенка";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1347" w:tooltip="Подпрограмма 4. Совершенствование развития скорой, в том числе скорой специализированной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- Югры, с пр" w:history="1">
              <w:proofErr w:type="gramStart"/>
              <w:r w:rsidR="00872CB8" w:rsidRPr="00A34365">
                <w:t>Подпрограмма 4</w:t>
              </w:r>
            </w:hyperlink>
            <w:r w:rsidR="00872CB8" w:rsidRPr="00A34365">
              <w:t xml:space="preserve"> "Совершенствование развития скорой, в том числе скорой специализированной, медицинской помощи, в том числе в экстренной форме, гражданам, включая проживающих в труднодоступных и отдаленных районах Ханты-Мансийского автономного округа – Югры, с применением авиации";</w:t>
            </w:r>
            <w:proofErr w:type="gramEnd"/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1480" w:tooltip="Подпрограмма 5. Оказание паллиативной помощи, в том числе детям" w:history="1">
              <w:r w:rsidR="00872CB8" w:rsidRPr="00A34365">
                <w:t>Подпрограмма 5</w:t>
              </w:r>
            </w:hyperlink>
            <w:r w:rsidR="00872CB8" w:rsidRPr="00A34365">
              <w:t xml:space="preserve"> "Оказание паллиативной помощи, в том числе детям";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1570" w:tooltip="Подпрограмма 6. Кадровое обеспечение системы здравоохранения" w:history="1">
              <w:r w:rsidR="00872CB8" w:rsidRPr="00A34365">
                <w:t>Подпрограмма 6</w:t>
              </w:r>
            </w:hyperlink>
            <w:r w:rsidR="00872CB8" w:rsidRPr="00A34365">
              <w:t xml:space="preserve"> "Кадровое обеспечение системы здравоохранения";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1716" w:tooltip="Подпрограмма 7. Создание единого цифрового контура в здравоохранении Ханты-Мансийского автономного округа - Югры на основе единой государственной информационной системы здравоохранения" w:history="1">
              <w:r w:rsidR="00872CB8" w:rsidRPr="00A34365">
                <w:t>Подпрограмма 7</w:t>
              </w:r>
            </w:hyperlink>
            <w:r w:rsidR="00872CB8" w:rsidRPr="00A34365">
              <w:t xml:space="preserve"> "Создание единого цифрового контура в здравоохранении автономного округа на основе единой государственной информационной системы здравоохранения";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1870" w:tooltip="Подпрограмма 8. Территориальное планирование учреждений здравоохранения Ханты-Мансийского автономного округа - Югры" w:history="1">
              <w:r w:rsidR="00872CB8" w:rsidRPr="00A34365">
                <w:t>Подпрограмма 8</w:t>
              </w:r>
            </w:hyperlink>
            <w:r w:rsidR="00872CB8" w:rsidRPr="00A34365">
              <w:t xml:space="preserve"> "Территориальное планирование учреждений здравоохранения Ханты-Мансийского автономного округа – Югры";</w:t>
            </w:r>
          </w:p>
          <w:p w:rsidR="00872CB8" w:rsidRPr="00A34365" w:rsidRDefault="00167189" w:rsidP="00001367">
            <w:pPr>
              <w:pStyle w:val="ConsPlusNormal"/>
              <w:ind w:firstLine="283"/>
              <w:jc w:val="both"/>
            </w:pPr>
            <w:hyperlink w:anchor="Par2160" w:tooltip="Подпрограмма 9. Привлечение негосударственных организаций в целях создания конкурентной среды" w:history="1">
              <w:r w:rsidR="00872CB8" w:rsidRPr="00A34365">
                <w:t>Подпрограмма 9</w:t>
              </w:r>
            </w:hyperlink>
            <w:r w:rsidR="00872CB8" w:rsidRPr="00A34365">
              <w:t xml:space="preserve"> "Привлечение негосударственных организаций в целях создания </w:t>
            </w:r>
            <w:proofErr w:type="gramStart"/>
            <w:r w:rsidR="00872CB8" w:rsidRPr="00A34365">
              <w:t>конкурентной</w:t>
            </w:r>
            <w:proofErr w:type="gramEnd"/>
            <w:r w:rsidR="00872CB8" w:rsidRPr="00A34365">
              <w:t xml:space="preserve"> среды"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</w:pPr>
            <w:r w:rsidRPr="00A34365">
              <w:t>Портфели проектов, проекты автономного округа, входящие в состав государственной программы, в том числе направленные на реализацию национальных проектов (программ) Российской Федерации, параметры их финансового обеспечения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autoSpaceDE w:val="0"/>
              <w:autoSpaceDN w:val="0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Портфель проектов «Здравоохранение» - 7 963 335,2 тыс. рублей, в том числе: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 xml:space="preserve">региональный проект «Борьба с онкологическими заболеваниями» - </w:t>
            </w:r>
            <w:r w:rsidRPr="00A34365">
              <w:rPr>
                <w:szCs w:val="24"/>
              </w:rPr>
              <w:t>1 391 575,70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 xml:space="preserve">региональный проект «Борьба с </w:t>
            </w:r>
            <w:proofErr w:type="gramStart"/>
            <w:r w:rsidRPr="00A34365">
              <w:rPr>
                <w:bCs/>
                <w:szCs w:val="24"/>
              </w:rPr>
              <w:t>сердечно-сосудистыми</w:t>
            </w:r>
            <w:proofErr w:type="gramEnd"/>
            <w:r w:rsidRPr="00A34365">
              <w:rPr>
                <w:bCs/>
                <w:szCs w:val="24"/>
              </w:rPr>
              <w:t xml:space="preserve"> заболеваниями» - 736 472,10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региональный проект «Обеспечение медицинских организаций системы здравоохранения квалифицированными кадрами» - 0,00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региональный проект «Развитие детского здравоохранения, включая создание современной и инфраструктуры оказания медицинской помощи детям» - 1 057 190,00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региональный проект «Развитие системы оказания первичной медико-санитарной помощи» - 4 088 877,40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региональный проект «Развитие экспорта медицинских услуг» - 0,00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региональный проект «Создание единого цифрового контура в здравоохранении на основе единой государственной информационной системы здравоохранения (ЕГИСЗ)» - 689 220,00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портфель проектов «Демография» - 944,30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ind w:firstLine="283"/>
              <w:jc w:val="both"/>
              <w:rPr>
                <w:bCs/>
                <w:szCs w:val="24"/>
              </w:rPr>
            </w:pPr>
            <w:r w:rsidRPr="00A34365">
              <w:rPr>
                <w:bCs/>
                <w:szCs w:val="24"/>
              </w:rPr>
              <w:t>региональный проект «Формирование системы мотивации граждан к здоровому образу жизни, включая здоровое питание и отказ от вредных привычек» - 0,00 тыс. рублей;</w:t>
            </w:r>
          </w:p>
          <w:p w:rsidR="00872CB8" w:rsidRPr="00A34365" w:rsidRDefault="00872CB8" w:rsidP="00001367">
            <w:pPr>
              <w:pStyle w:val="ConsPlusNormal"/>
              <w:ind w:firstLine="283"/>
            </w:pPr>
            <w:r w:rsidRPr="00A34365">
              <w:rPr>
                <w:bCs/>
              </w:rPr>
              <w:t>региональный проект «Старшее поколение» - 944,30 тыс. рублей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</w:pPr>
            <w:r w:rsidRPr="00A34365">
              <w:lastRenderedPageBreak/>
              <w:t>Целевые показатели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1. Увеличение ожидаемой продолжительности жизни при рождении с 74,29 до 79,05 лет.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2. Снижение младенческой смертности с 4,6 до 3,7 случаев на 1000 родившихся живыми.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3. Увеличение охвата всех граждан профилактическими медицинскими осмотрами с 52,7% до 95,0%.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4. Увеличение количества медицинских организаций, участвующих в создании и тиражировании "Новой модели медицинской организации, оказывающей первичную медико-санитарную помощь" до 144%.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5. Снижение смертности от новообразований, в том числе от злокачественных  со 119,7 до 109,1 случаев на 100 тыс. населения.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6. Снижение смертности от болезней системы кровообращения с 254,9 до 220,0 случаев на 100 тыс. населения.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7. Увеличение укомплектованности врачебных должностей в подразделениях, оказывающих медицинскую помощь в амбулаторных условиях (физическими лицами при коэффициенте совместительства 1,2) с 81,5% до 95,0%.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8. Увеличение охвата граждан старше трудоспособного возраста из групп риска вакцинацией против пневмококковой инфекции с 80,0% до 95,0%.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 xml:space="preserve">9. Обеспечение удовлетворенности (обеспеченности) населения автономного округа высокотехнологичной медицинской помощью (отношение </w:t>
            </w:r>
            <w:proofErr w:type="gramStart"/>
            <w:r w:rsidRPr="00A34365">
              <w:t>направленных</w:t>
            </w:r>
            <w:proofErr w:type="gramEnd"/>
            <w:r w:rsidRPr="00A34365">
              <w:t xml:space="preserve"> и получивших ВМП) не менее 95%.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10. Увеличение суммарного коэффициента рождаемости, число детей, рожденных одной женщиной репродуктивного возраста с 1,87 до 1,99.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11. Уменьшение общего коэффициента смертности до 6,0 умерших на 1000 человек населения.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12. Снижение коэффициента смертности населения трудоспособного возраста с 400,0 до 300,0 умерших в трудоспособном возрасте на 100 тыс. человек населения трудоспособного возраста.</w:t>
            </w:r>
          </w:p>
          <w:p w:rsidR="00872CB8" w:rsidRPr="00A34365" w:rsidRDefault="00872CB8" w:rsidP="00001367">
            <w:pPr>
              <w:pStyle w:val="ConsPlusNormal"/>
              <w:ind w:firstLine="283"/>
              <w:jc w:val="both"/>
            </w:pPr>
            <w:r w:rsidRPr="00A34365">
              <w:t>13. Естественный прирост населения до 5,0 на 1000 человек населения.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  <w:jc w:val="both"/>
            </w:pPr>
            <w:r w:rsidRPr="00A34365">
              <w:t>Сроки реализации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</w:pPr>
            <w:r w:rsidRPr="00A34365">
              <w:t>2019 - 2025 годы и на период до 2030 года</w:t>
            </w:r>
          </w:p>
        </w:tc>
      </w:tr>
      <w:tr w:rsidR="00872CB8" w:rsidRPr="00A34365" w:rsidTr="00A34365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pStyle w:val="ConsPlusNormal"/>
            </w:pPr>
            <w:r w:rsidRPr="00A34365">
              <w:t>Параметры финансового обеспечения государственной программы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общий объем финансирования государственной программы составляет 1 072 896 420,69 тыс. рублей, в том числе: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2019 год – 101 571 383,40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2020 год – 101 910 978,40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2021 год – 106 378 799,40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2022 год – 100 307 161,79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2023 год – 85 559 464,80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2024 год – 84 277 484,70 тыс. рублей;</w:t>
            </w:r>
          </w:p>
          <w:p w:rsidR="00872CB8" w:rsidRPr="00A34365" w:rsidRDefault="00872CB8" w:rsidP="0000136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4365">
              <w:rPr>
                <w:szCs w:val="24"/>
              </w:rPr>
              <w:t>на 2025 год – 82 773 524,70 тыс. рублей;</w:t>
            </w:r>
          </w:p>
          <w:p w:rsidR="00872CB8" w:rsidRPr="00A34365" w:rsidRDefault="00872CB8" w:rsidP="00EA11B7">
            <w:pPr>
              <w:pStyle w:val="ConsPlusNormal"/>
              <w:jc w:val="both"/>
            </w:pPr>
            <w:r w:rsidRPr="00A34365">
              <w:t>на 2026 – 2030 годы – 410 117 623,50 тыс. рублей</w:t>
            </w:r>
          </w:p>
        </w:tc>
      </w:tr>
    </w:tbl>
    <w:p w:rsidR="00235A0C" w:rsidRPr="00872CB8" w:rsidRDefault="00235A0C" w:rsidP="00A34365"/>
    <w:sectPr w:rsidR="00235A0C" w:rsidRPr="00872CB8" w:rsidSect="00167189">
      <w:headerReference w:type="default" r:id="rId7"/>
      <w:pgSz w:w="11906" w:h="16838"/>
      <w:pgMar w:top="1134" w:right="850" w:bottom="1134" w:left="1701" w:header="708" w:footer="708" w:gutter="0"/>
      <w:pgNumType w:start="28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89" w:rsidRDefault="00167189" w:rsidP="00167189">
      <w:r>
        <w:separator/>
      </w:r>
    </w:p>
  </w:endnote>
  <w:endnote w:type="continuationSeparator" w:id="0">
    <w:p w:rsidR="00167189" w:rsidRDefault="00167189" w:rsidP="00167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89" w:rsidRDefault="00167189" w:rsidP="00167189">
      <w:r>
        <w:separator/>
      </w:r>
    </w:p>
  </w:footnote>
  <w:footnote w:type="continuationSeparator" w:id="0">
    <w:p w:rsidR="00167189" w:rsidRDefault="00167189" w:rsidP="001671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5103095"/>
      <w:docPartObj>
        <w:docPartGallery w:val="Page Numbers (Top of Page)"/>
        <w:docPartUnique/>
      </w:docPartObj>
    </w:sdtPr>
    <w:sdtContent>
      <w:p w:rsidR="00167189" w:rsidRDefault="0016718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2861</w:t>
        </w:r>
        <w:r>
          <w:fldChar w:fldCharType="end"/>
        </w:r>
      </w:p>
    </w:sdtContent>
  </w:sdt>
  <w:p w:rsidR="00167189" w:rsidRDefault="001671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CB8"/>
    <w:rsid w:val="00167189"/>
    <w:rsid w:val="00235A0C"/>
    <w:rsid w:val="005A3A83"/>
    <w:rsid w:val="0086058D"/>
    <w:rsid w:val="00872CB8"/>
    <w:rsid w:val="00A34365"/>
    <w:rsid w:val="00EA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2CB8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72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872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qFormat/>
    <w:locked/>
    <w:rsid w:val="00872C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67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7189"/>
    <w:rPr>
      <w:rFonts w:ascii="Times New Roman" w:eastAsiaTheme="minorEastAsia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671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7189"/>
    <w:rPr>
      <w:rFonts w:ascii="Times New Roman" w:eastAsiaTheme="minorEastAsia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72CB8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872C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872CB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qFormat/>
    <w:locked/>
    <w:rsid w:val="00872CB8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167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67189"/>
    <w:rPr>
      <w:rFonts w:ascii="Times New Roman" w:eastAsiaTheme="minorEastAsia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1671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67189"/>
    <w:rPr>
      <w:rFonts w:ascii="Times New Roman" w:eastAsiaTheme="minorEastAsia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Ращектаева Елена Владимировна</dc:creator>
  <cp:lastModifiedBy>Шубная  Юлия  Петровна</cp:lastModifiedBy>
  <cp:revision>4</cp:revision>
  <cp:lastPrinted>2019-10-18T04:41:00Z</cp:lastPrinted>
  <dcterms:created xsi:type="dcterms:W3CDTF">2019-10-18T04:57:00Z</dcterms:created>
  <dcterms:modified xsi:type="dcterms:W3CDTF">2019-10-21T05:36:00Z</dcterms:modified>
</cp:coreProperties>
</file>